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FB6" w:rsidRDefault="00881FB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6933"/>
        <w:gridCol w:w="1031"/>
        <w:gridCol w:w="2592"/>
      </w:tblGrid>
      <w:tr w:rsidR="00881FB6">
        <w:trPr>
          <w:trHeight w:val="188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2F1120">
            <w:pPr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5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881F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881FB6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81FB6" w:rsidRDefault="002F1120">
                  <w:pPr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881FB6" w:rsidRDefault="00881F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1FB6" w:rsidRDefault="00881FB6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FB6">
        <w:trPr>
          <w:trHeight w:val="62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2F1120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2F1120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1FB6" w:rsidRDefault="00881FB6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1FB6" w:rsidRDefault="00881FB6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FB6">
        <w:trPr>
          <w:trHeight w:val="8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2F1120">
            <w:pPr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2F1120">
            <w:pPr>
              <w:ind w:lef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"Лаборатория диагностики и развития социальных систем"</w:t>
            </w:r>
          </w:p>
        </w:tc>
      </w:tr>
    </w:tbl>
    <w:p w:rsidR="00881FB6" w:rsidRDefault="00881FB6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81FB6" w:rsidRDefault="002F1120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8"/>
        <w:gridCol w:w="3855"/>
        <w:gridCol w:w="220"/>
        <w:gridCol w:w="427"/>
        <w:gridCol w:w="2751"/>
        <w:gridCol w:w="220"/>
      </w:tblGrid>
      <w:tr w:rsidR="00881FB6">
        <w:trPr>
          <w:trHeight w:val="128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1FB6" w:rsidRDefault="002F1120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Генеральный директор</w:t>
            </w:r>
          </w:p>
          <w:p w:rsidR="00881FB6" w:rsidRDefault="002F1120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«Лаборатория-С»</w:t>
            </w:r>
          </w:p>
          <w:p w:rsidR="00881FB6" w:rsidRDefault="00881F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2F11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4"/>
                <w:szCs w:val="24"/>
              </w:rPr>
              <w:drawing>
                <wp:inline distT="114300" distB="114300" distL="114300" distR="114300">
                  <wp:extent cx="2362200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881FB6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881FB6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881FB6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881FB6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1FB6" w:rsidRDefault="00881FB6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1FB6" w:rsidRDefault="00881FB6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1FB6" w:rsidRDefault="002F1120">
                  <w:pPr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Д.Ф. Барсукова</w:t>
                  </w:r>
                </w:p>
              </w:tc>
            </w:tr>
          </w:tbl>
          <w:p w:rsidR="00881FB6" w:rsidRDefault="00881F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B6" w:rsidRDefault="00881FB6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 оценки качества по организации социальной сферы, в отношении которой проведена независимая оценка качества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Чобщ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общее число опрошенных получателей услуг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нформации об организации социальной сферы»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Пинф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правовыми актами Российской Федерации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информационных стендах в помещении организации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количество баллов за каждый дистанционный способ взаимодействия с получателями услуг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феры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Поткруд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ации социальной сферы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доступностью информации, размещенной на официальном сайте организации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К2 - Показатель, характеризующий критерий оценки качества «Комфортность условий предоставления услуг, в том числе время ожидания предоставления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услуг»*</w:t>
      </w:r>
      <w:proofErr w:type="gramEnd"/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комфортных условий предоставления услуг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– количество баллов за каждое комфортное условие предоставления услуг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комфортных условий предоставления услуг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комфортностью предоставления услуг организацией социальной сферы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Доля получателей услуг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удовлетворенных комфортностью предоставления услуг организацией социальной сферы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 «Доступность услуг для инвалидов»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Оборудование помещений организации социальной сферы и прилегающей к ней территории с учетом доступности для инвалидов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 организации для инвалидов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Соргд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 организации для инвалидов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условий доступности, позволяющих инвалидам получать услуги наравне с другими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позволяющее инвалидам получать услуги наравне с другими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доступности, позволяющих инвалидам получать услуги наравне с другими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Пдостуд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доступностью услуг для инвалидов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Чинв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опрошенных получателей услуг-инвалидов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телей услуг-инвалидов, удовлетворенных доступностью услуг для инвалидов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 - Доля получателей услуг, удовлетворенн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ьностью, вежливостью работников организации, обеспечивающих первичный контакт и информирование получателя услуги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сферы, обеспечивающи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 непосредственное оказание услуги при обращении в организацию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использовании дистанционных форм взаимодействия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которые готовы рекомендовать организацию социальной сферы родственн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икам и знакомым (могли бы ее рекомендовать, если бы была возможность выбора организации социальной сферы)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ть выбора организации)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Уорг.усл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организационными условиями предоставления услуг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организационными условиями предоставления услуг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довлетворенных в целом условиями оказания услуг в организации социальной сферы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881FB6" w:rsidRDefault="002F112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81FB6" w:rsidRDefault="002F112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Обобщенные результаты сбора, обобщения и анализа информации о кач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естве оказания услуг организациями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881FB6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</w:t>
      </w:r>
      <w:r>
        <w:rPr>
          <w:rFonts w:ascii="Times New Roman" w:eastAsia="Times New Roman" w:hAnsi="Times New Roman" w:cs="Times New Roman"/>
        </w:rPr>
        <w:t>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</w:t>
      </w:r>
      <w:r>
        <w:rPr>
          <w:rFonts w:ascii="Times New Roman" w:eastAsia="Times New Roman" w:hAnsi="Times New Roman" w:cs="Times New Roman"/>
        </w:rPr>
        <w:t xml:space="preserve">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Период проведения - 2020 год.</w:t>
      </w:r>
    </w:p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каждой организации, которая подлежала процедуре, на основе собранной, обобщенной и проанализированной информации рассчитан </w:t>
      </w:r>
      <w:proofErr w:type="spellStart"/>
      <w:r>
        <w:rPr>
          <w:rFonts w:ascii="Times New Roman" w:eastAsia="Times New Roman" w:hAnsi="Times New Roman" w:cs="Times New Roman"/>
        </w:rPr>
        <w:t>Sn</w:t>
      </w:r>
      <w:proofErr w:type="spellEnd"/>
      <w:r>
        <w:rPr>
          <w:rFonts w:ascii="Times New Roman" w:eastAsia="Times New Roman" w:hAnsi="Times New Roman" w:cs="Times New Roman"/>
        </w:rPr>
        <w:t xml:space="preserve"> - итоговый показатель оценки качества организации.</w:t>
      </w:r>
    </w:p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Значение показателя оценки качества рассчитывалось в баллах и его максималь</w:t>
      </w:r>
      <w:r>
        <w:rPr>
          <w:rFonts w:ascii="Times New Roman" w:eastAsia="Times New Roman" w:hAnsi="Times New Roman" w:cs="Times New Roman"/>
        </w:rPr>
        <w:t>но возможное значение составляет 100 баллов.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</w:t>
      </w:r>
      <w:r>
        <w:rPr>
          <w:rFonts w:ascii="Times New Roman" w:eastAsia="Times New Roman" w:hAnsi="Times New Roman" w:cs="Times New Roman"/>
        </w:rPr>
        <w:t xml:space="preserve">еднего”, “неудовлетворительно” - условное, по </w:t>
      </w:r>
      <w:proofErr w:type="gramStart"/>
      <w:r>
        <w:rPr>
          <w:rFonts w:ascii="Times New Roman" w:eastAsia="Times New Roman" w:hAnsi="Times New Roman" w:cs="Times New Roman"/>
        </w:rPr>
        <w:t>аналогии  с</w:t>
      </w:r>
      <w:proofErr w:type="gramEnd"/>
      <w:r>
        <w:rPr>
          <w:rFonts w:ascii="Times New Roman" w:eastAsia="Times New Roman" w:hAnsi="Times New Roman" w:cs="Times New Roman"/>
        </w:rPr>
        <w:t xml:space="preserve"> данными сайта bus.gov.ru.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10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881FB6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81FB6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организаций</w:t>
            </w:r>
          </w:p>
        </w:tc>
      </w:tr>
      <w:tr w:rsidR="00881FB6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1FB6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1FB6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FB6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FB6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 целях определения итогового </w:t>
      </w:r>
      <w:proofErr w:type="gramStart"/>
      <w:r>
        <w:rPr>
          <w:rFonts w:ascii="Times New Roman" w:eastAsia="Times New Roman" w:hAnsi="Times New Roman" w:cs="Times New Roman"/>
        </w:rPr>
        <w:t>показателя  были</w:t>
      </w:r>
      <w:proofErr w:type="gramEnd"/>
      <w:r>
        <w:rPr>
          <w:rFonts w:ascii="Times New Roman" w:eastAsia="Times New Roman" w:hAnsi="Times New Roman" w:cs="Times New Roman"/>
        </w:rPr>
        <w:t xml:space="preserve"> рассчитаны следующие показатели оценки: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К2 - Показатель, характеризующий критер</w:t>
      </w:r>
      <w:r>
        <w:rPr>
          <w:rFonts w:ascii="Times New Roman" w:eastAsia="Times New Roman" w:hAnsi="Times New Roman" w:cs="Times New Roman"/>
        </w:rPr>
        <w:t>ий оценки качества «Комфортность условий предоставления услуг»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К3 - Показатель, характеризующий критерий оценки качества «Доступность услуг для инвалидов»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К5 - Показатель, характеризующий критерий оценки качества «Удовлетворенность условиями оказания услуг»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таблице и диаграмм</w:t>
      </w:r>
      <w:r>
        <w:rPr>
          <w:rFonts w:ascii="Times New Roman" w:eastAsia="Times New Roman" w:hAnsi="Times New Roman" w:cs="Times New Roman"/>
        </w:rPr>
        <w:t xml:space="preserve">ах применены условные сокращения в названиях показателей по аналогии с сайтом bus.gov.ru - </w:t>
      </w:r>
      <w:proofErr w:type="gramStart"/>
      <w:r>
        <w:rPr>
          <w:rFonts w:ascii="Times New Roman" w:eastAsia="Times New Roman" w:hAnsi="Times New Roman" w:cs="Times New Roman"/>
        </w:rPr>
        <w:t>Открытость,  Комфортность</w:t>
      </w:r>
      <w:proofErr w:type="gramEnd"/>
      <w:r>
        <w:rPr>
          <w:rFonts w:ascii="Times New Roman" w:eastAsia="Times New Roman" w:hAnsi="Times New Roman" w:cs="Times New Roman"/>
        </w:rPr>
        <w:t xml:space="preserve">, Доступность услуг, Доброжелательность, Удовлетворенность. 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881FB6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</w:t>
            </w:r>
            <w:r>
              <w:rPr>
                <w:rFonts w:ascii="Times New Roman" w:eastAsia="Times New Roman" w:hAnsi="Times New Roman" w:cs="Times New Roman"/>
              </w:rPr>
              <w:t>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881F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 оценки</w:t>
            </w:r>
          </w:p>
        </w:tc>
      </w:tr>
      <w:tr w:rsidR="00881FB6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881FB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881FB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881FB6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81FB6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1FB6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1FB6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1FB6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81FB6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54,33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81,54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78,43</w:t>
            </w:r>
          </w:p>
        </w:tc>
      </w:tr>
      <w:tr w:rsidR="00881FB6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83,22</w:t>
            </w:r>
          </w:p>
        </w:tc>
      </w:tr>
      <w:tr w:rsidR="00881FB6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  <w:tr w:rsidR="00881FB6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11,22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  <w:sectPr w:rsidR="00881FB6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Организации выстроены в порядке, предусмотренном техническим заданием к договору </w:t>
      </w:r>
      <w:r>
        <w:rPr>
          <w:rFonts w:ascii="Times New Roman" w:eastAsia="Times New Roman" w:hAnsi="Times New Roman" w:cs="Times New Roman"/>
        </w:rPr>
        <w:t>(контракту).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9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950"/>
        <w:gridCol w:w="950"/>
        <w:gridCol w:w="950"/>
        <w:gridCol w:w="950"/>
        <w:gridCol w:w="950"/>
        <w:gridCol w:w="950"/>
      </w:tblGrid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корректировка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Итоговый показатель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Астрахановская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«Владимировская средняя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«Городецкая СОШ им. Героя России Александра Прохоренко»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начальная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«Ивановская основная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«Ключевская начальная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Муниципальное бюджетное общеобразовательное учреждение»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«Троицкая средняя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Тугустемирская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881FB6">
        <w:trPr>
          <w:trHeight w:val="566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«Снежинка»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56,1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8205"/>
      </w:tblGrid>
      <w:tr w:rsidR="00881FB6">
        <w:trPr>
          <w:trHeight w:val="645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«Городецкая СОШ им. Героя России Александра Прохоренко»; Муниципальное бюджетное общеобразовательное учреждение «Ключевская начальная общеобразовательная школа»;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учреждение»; Муниципальное автономное общеобразовательное учреждение «Троицкая средняя общеобразовательная школа»;</w:t>
            </w:r>
          </w:p>
        </w:tc>
      </w:tr>
      <w:tr w:rsidR="00881FB6">
        <w:trPr>
          <w:trHeight w:val="750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«Ключевская начальная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учреждение»;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общеобразовательное учреждение «Троицкая средняя общеобразовательная школа»;</w:t>
            </w:r>
          </w:p>
        </w:tc>
      </w:tr>
      <w:tr w:rsidR="00881FB6">
        <w:trPr>
          <w:trHeight w:val="645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«Троицкая средняя общеобразовательная школа»;</w:t>
            </w:r>
          </w:p>
        </w:tc>
      </w:tr>
      <w:tr w:rsidR="00881FB6">
        <w:trPr>
          <w:trHeight w:val="750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учреждение»; Муниципальное автономное общеобразовательное учреждение «Троицкая средняя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щеобразовательная школа»;</w:t>
            </w:r>
          </w:p>
        </w:tc>
      </w:tr>
      <w:tr w:rsidR="00881FB6">
        <w:trPr>
          <w:trHeight w:val="645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зафиксированы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РЕЗУЛЬТАТЫ СБОРА, ОБОБЩЕНИЯ И АНАЛИЗА ИНФОРМАЦИИ </w:t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</w:t>
      </w:r>
      <w:r>
        <w:rPr>
          <w:rFonts w:ascii="Times New Roman" w:eastAsia="Times New Roman" w:hAnsi="Times New Roman" w:cs="Times New Roman"/>
          <w:sz w:val="24"/>
          <w:szCs w:val="24"/>
        </w:rPr>
        <w:t>авне с другими.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295"/>
      </w:tblGrid>
      <w:tr w:rsidR="00881FB6">
        <w:trPr>
          <w:trHeight w:val="32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школа»; Муниципальное бюджетное общеобразовательное учреждение «Владимировская средняя общеобразовательная школа»; Муниципальное бюджетное общеобразовательное учреждение «Городецкая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им. Героя России Александра Прохоренко»;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школа»; Муниципальное бюджетное общеобразовательное учреждение «Ивановская основная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бюджетное общеобразовательное учреждение «Ключевская начальная общеобразовательная школа»; Муниципальное автономное общеобразовательное учреждение «Троицкая средняя общеобразовательная школа»; Муниципальное бюджетное общеобразовательное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Тугустемирская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</w:tc>
      </w:tr>
      <w:tr w:rsidR="00881FB6">
        <w:trPr>
          <w:trHeight w:val="435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школа»; Муниципальное бюджетн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общеобразовательное учреждение «Владимировская средняя общеобразовательная школа»; Муниципальное бюджетное общеобразовательное учреждение «Городецкая СОШ им. Героя России Александра Прохоренко»;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школа»; Муниципальное бюджетное общеобразовательное учреждение «Ивановская основная общеобразовательная школа»; Муниципальное бюджетное общеобразовательное учреждение «Ключевская начальная общеобразовательная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учреждение»; Муниципальное автономное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«Троицкая средняя общеобразовательная школа»; Муниципальное бюджетное дошкольное образовательное учреждение «Детский сад «Снежинка»;</w:t>
            </w:r>
          </w:p>
        </w:tc>
      </w:tr>
      <w:tr w:rsidR="00881FB6">
        <w:trPr>
          <w:trHeight w:val="23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«Владимировская средняя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школа»; Муниципальное бюджетное общеобразовательное учреждение «Ивановская основная общеобразовательная школа»; Муниципальное бюджетное общеобразовательное учреждение «Ключевская начальная общеобразовательная школа»; Муниципальное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 Муниципальное автономное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«Троицкая средняя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Тугустемирска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</w:tc>
      </w:tr>
      <w:tr w:rsidR="00881FB6">
        <w:trPr>
          <w:trHeight w:val="39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сменных кресел-колясок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школа»; Муниципальное бюджетное общеобразовательное учреждение «Владимировская 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школа»; Муниципальное бюджетное общеобразовательное учреждение «Городецкая СОШ им. Героя России Александра Прохоренко»;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школа»;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бюджетное общеобразовательное учреждение «Ивановская основная общеобразовательная школа»; Муниципальное бюджетное общеобразовательное учреждение «Ключевская начальная общеобразовательная школа»; Муниципальное бюджетное общеобразовательное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учреждение»; Муниципальное автономное общеобразовательное учреждение «Троицкая средняя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школа»; Муниципальное бюджетное дошкольное образовательное учреждение «Детский сад «Снежинка»;</w:t>
            </w:r>
          </w:p>
        </w:tc>
      </w:tr>
      <w:tr w:rsidR="00881FB6">
        <w:trPr>
          <w:trHeight w:val="32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«Владимировская средняя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школа»; Муниципальное бюджетное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«Ивановская основная общеобразовательная школа»; Муниципальное бюджетное общеобразовательное учреждение «Ключевская начальная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учреждение»; Муниципальное автономное общеобразовательное учреждение «Троицкая средняя общеобразовательная школа»;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Тугустемирская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 Муниципальное бюджетное дошкольное образовательное учреждение «Детский сад «Снежинка»;</w:t>
            </w:r>
          </w:p>
        </w:tc>
      </w:tr>
    </w:tbl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</w:t>
      </w:r>
      <w:r>
        <w:rPr>
          <w:rFonts w:ascii="Times New Roman" w:eastAsia="Times New Roman" w:hAnsi="Times New Roman" w:cs="Times New Roman"/>
          <w:sz w:val="24"/>
          <w:szCs w:val="24"/>
        </w:rPr>
        <w:t>их инвалидам получать услуги наравне с другими, а именно: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265"/>
      </w:tblGrid>
      <w:tr w:rsidR="00881FB6">
        <w:trPr>
          <w:trHeight w:val="21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школа»; Муниципальное бюджетное общеобразовательное учреждение «Владимировская средняя общеобразовательная школа»; Муниципальное бюджетное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учреждение «Городецкая СОШ им. Героя России Александра Прохоренко»;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школа»; Муниципальное бюджетное общеобразовательное учреждение «Ивановская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школа»; Муниципальное бюджетное общеобразовательное учреждение «Ключевская начальная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 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учреждение»; Муниципальное автономное общеобразовательное учреждение «Троицкая средняя общеобразовательная школа»; 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Тугустемирская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 Муниципальное бюджетное дошкольное образовательное учреждение «Детский сад «Снежинка»;</w:t>
            </w:r>
          </w:p>
        </w:tc>
      </w:tr>
      <w:tr w:rsidR="00881FB6">
        <w:trPr>
          <w:trHeight w:val="14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«Городецкая СОШ им. Героя России Александра Прохоренко»;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школа»; Муниципальное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тное общеобразовательное учреждение «Ключевская начальная общеобразовательная школа»; Муниципальное автономное общеобразовательное учреждение «Троицкая средняя общеобразовательная школа»;</w:t>
            </w:r>
          </w:p>
        </w:tc>
      </w:tr>
      <w:tr w:rsidR="00881FB6">
        <w:trPr>
          <w:trHeight w:val="4125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школа»; Муниципальное бюджетное общеобразовательное учреждение «Владимировская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бюджетное общеобразовательное учреждение «Городецкая СОШ им. Героя России Александра Прохоренко»; Муниципальное бюджетное общеобразовательное учреждение «Ивановская основная общеобразовательная школа»; Муниципальное бюджетное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учреждение «Ключевская начальная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тное общеобразовательное учреждение»; Муниципальное автономное общеобразовательное учреждение «Троицкая средняя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Тугустемирская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школа»;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бюджетное дошкольное образовательное учреждение «Детский сад «Снежинка»;</w:t>
            </w:r>
          </w:p>
        </w:tc>
      </w:tr>
      <w:tr w:rsidR="00881FB6">
        <w:trPr>
          <w:trHeight w:val="75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«Ключевская начальная общеобразовательная школа»;</w:t>
            </w:r>
          </w:p>
        </w:tc>
      </w:tr>
      <w:tr w:rsidR="00881FB6">
        <w:trPr>
          <w:trHeight w:val="165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ниципальное бюджетное общеобразовательное учреждение «Городецкая СОШ им. Героя России Александра Прохоренко»; Муниципальное бюджетное общеобразовательное учреждение «Ивановская основная общеобразовательная школа»; Муниципальное бюджетное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учреждение «Ключевская начальная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учреждение»; Муниципальное автономное общеобразовательное учреждение «Троицкая средняя общеобразовательная школа»; Муниципальное бюджетное дошкольное образовательное учреждение «Детский сад «Снежинка»;</w:t>
            </w:r>
          </w:p>
        </w:tc>
      </w:tr>
      <w:tr w:rsidR="00881FB6">
        <w:trPr>
          <w:trHeight w:val="12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8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зафиксированы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881FB6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открытость и доступность информации о своей деятельности посредством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 от 10.07.2013 № 582 (далее – ПП РФ №582). Требования к структуре официального сайта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информационно-телекоммуникационной сети «Интернет» и формату представления на нем информации отражены в приказе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29.05.2014 № 785 «Об утверждении требований к структуре официального сайта образовательной организации в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ционно-телекоммуникационной сети «Интернет» и формату представления на нём информации», зарегистрирован Минюстом России 04.08.2014, регистрационный № 33423 (далее – приказ РОН №785).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1075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881FB6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Требуемое количество единиц информации для размещения на сайте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- 46.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сайтов организаций выявил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критерий оценки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качества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Открытость и доступност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информации об организации социальной сферы». 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информацию на сайтах организаций:</w:t>
      </w:r>
    </w:p>
    <w:tbl>
      <w:tblPr>
        <w:tblStyle w:val="af4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6705"/>
      </w:tblGrid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дате с</w:t>
            </w:r>
            <w:r>
              <w:rPr>
                <w:sz w:val="20"/>
                <w:szCs w:val="20"/>
              </w:rPr>
              <w:t>оздания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</w:t>
            </w:r>
            <w:r>
              <w:rPr>
                <w:sz w:val="20"/>
                <w:szCs w:val="20"/>
              </w:rPr>
              <w:t>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 положениях о структурных подразделениях (об органах управления) с приложением копий указанных положений (при их наличии</w:t>
            </w:r>
            <w:proofErr w:type="gramStart"/>
            <w:r>
              <w:rPr>
                <w:sz w:val="20"/>
                <w:szCs w:val="20"/>
              </w:rPr>
              <w:t>))*</w:t>
            </w:r>
            <w:proofErr w:type="gram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</w:t>
            </w:r>
            <w:r>
              <w:rPr>
                <w:sz w:val="20"/>
                <w:szCs w:val="20"/>
              </w:rPr>
              <w:t>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Свидетельства о государственной аккредитации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</w:t>
            </w:r>
            <w:r>
              <w:rPr>
                <w:sz w:val="20"/>
                <w:szCs w:val="20"/>
              </w:rPr>
              <w:t>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t>информация по данному пун</w:t>
            </w:r>
            <w:r>
              <w:t>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sz w:val="20"/>
                <w:szCs w:val="20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sz w:val="20"/>
                <w:szCs w:val="20"/>
              </w:rPr>
              <w:t>ными представителями) несовершеннолетних обучающихся.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881FB6">
            <w:pPr>
              <w:widowControl w:val="0"/>
              <w:rPr>
                <w:sz w:val="20"/>
                <w:szCs w:val="20"/>
              </w:rPr>
            </w:pP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Отчет о резуль</w:t>
            </w:r>
            <w:r>
              <w:rPr>
                <w:sz w:val="20"/>
                <w:szCs w:val="20"/>
              </w:rPr>
              <w:t xml:space="preserve">татах </w:t>
            </w:r>
            <w:proofErr w:type="spellStart"/>
            <w:r>
              <w:rPr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</w:t>
            </w:r>
            <w:r>
              <w:rPr>
                <w:sz w:val="20"/>
                <w:szCs w:val="20"/>
              </w:rPr>
              <w:t>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(при </w:t>
            </w:r>
            <w:proofErr w:type="gramStart"/>
            <w:r>
              <w:rPr>
                <w:sz w:val="20"/>
                <w:szCs w:val="20"/>
              </w:rPr>
              <w:t>наличии)*</w:t>
            </w:r>
            <w:proofErr w:type="gram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по данному пункту размещена полностью на сайтах всех </w:t>
            </w:r>
            <w:r>
              <w:rPr>
                <w:sz w:val="20"/>
                <w:szCs w:val="20"/>
              </w:rPr>
              <w:t>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реализуемых уровнях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формах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</w:t>
            </w:r>
            <w:r>
              <w:rPr>
                <w:sz w:val="20"/>
                <w:szCs w:val="20"/>
              </w:rPr>
              <w:t xml:space="preserve"> нормативных сроках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</w:t>
            </w:r>
            <w:r>
              <w:rPr>
                <w:sz w:val="20"/>
                <w:szCs w:val="20"/>
              </w:rPr>
              <w:t>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</w:t>
            </w:r>
            <w:r>
              <w:rPr>
                <w:sz w:val="20"/>
                <w:szCs w:val="20"/>
              </w:rPr>
              <w:t>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методических и иных документах, разработанных образовательной о</w:t>
            </w:r>
            <w:r>
              <w:rPr>
                <w:sz w:val="20"/>
                <w:szCs w:val="20"/>
              </w:rPr>
              <w:t>рганизацией для обеспечения образовательного процесса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Информация о реализуемых образовательных программах, в том числе о реализуемых адаптированных образовательных программах, с </w:t>
            </w:r>
            <w:r>
              <w:rPr>
                <w:sz w:val="20"/>
                <w:szCs w:val="20"/>
              </w:rPr>
              <w:t>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</w:t>
            </w:r>
            <w:r>
              <w:rPr>
                <w:sz w:val="20"/>
                <w:szCs w:val="20"/>
              </w:rPr>
              <w:t>гий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</w:t>
            </w:r>
            <w:r>
              <w:rPr>
                <w:sz w:val="20"/>
                <w:szCs w:val="20"/>
              </w:rPr>
              <w:t>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</w:t>
            </w:r>
            <w:r>
              <w:rPr>
                <w:sz w:val="20"/>
                <w:szCs w:val="20"/>
              </w:rPr>
              <w:t xml:space="preserve">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</w:t>
            </w:r>
            <w:r>
              <w:rPr>
                <w:sz w:val="20"/>
                <w:szCs w:val="20"/>
              </w:rPr>
              <w:t>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</w:t>
            </w:r>
            <w:r>
              <w:rPr>
                <w:sz w:val="20"/>
                <w:szCs w:val="20"/>
              </w:rPr>
              <w:t xml:space="preserve">ов и образовательных стандартов размещать гиперссылки на соответствующие документы на сайте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руководителе образовательной организации, его заместит</w:t>
            </w:r>
            <w:r>
              <w:rPr>
                <w:sz w:val="20"/>
                <w:szCs w:val="20"/>
              </w:rPr>
              <w:t>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>
              <w:rPr>
                <w:sz w:val="20"/>
                <w:szCs w:val="20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</w:t>
            </w:r>
            <w:r>
              <w:rPr>
                <w:sz w:val="20"/>
                <w:szCs w:val="20"/>
              </w:rPr>
              <w:t>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</w:t>
            </w:r>
            <w:r>
              <w:rPr>
                <w:sz w:val="20"/>
                <w:szCs w:val="20"/>
              </w:rPr>
              <w:t>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обеспечении дост</w:t>
            </w:r>
            <w:r>
              <w:rPr>
                <w:sz w:val="20"/>
                <w:szCs w:val="20"/>
              </w:rPr>
              <w:t>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условиях питания обучающихся, в том числе инвалидов и лиц с ограничен</w:t>
            </w:r>
            <w:r>
              <w:rPr>
                <w:sz w:val="20"/>
                <w:szCs w:val="20"/>
              </w:rPr>
              <w:t>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</w:t>
            </w:r>
            <w:r>
              <w:rPr>
                <w:sz w:val="20"/>
                <w:szCs w:val="20"/>
              </w:rPr>
              <w:t>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</w:t>
            </w:r>
            <w:r>
              <w:rPr>
                <w:sz w:val="20"/>
                <w:szCs w:val="20"/>
              </w:rPr>
              <w:t>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</w:t>
            </w:r>
            <w:r>
              <w:rPr>
                <w:sz w:val="20"/>
                <w:szCs w:val="20"/>
              </w:rPr>
              <w:t>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</w:t>
            </w:r>
            <w:r>
              <w:rPr>
                <w:sz w:val="20"/>
                <w:szCs w:val="20"/>
              </w:rPr>
              <w:t xml:space="preserve">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</w:t>
            </w:r>
            <w:r>
              <w:rPr>
                <w:sz w:val="20"/>
                <w:szCs w:val="20"/>
              </w:rPr>
              <w:t xml:space="preserve">в общежитии (при </w:t>
            </w:r>
            <w:proofErr w:type="gramStart"/>
            <w:r>
              <w:rPr>
                <w:sz w:val="20"/>
                <w:szCs w:val="20"/>
              </w:rPr>
              <w:t>наличии)*</w:t>
            </w:r>
            <w:proofErr w:type="gram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наличии и порядке оказания платных образовательных услуг (при </w:t>
            </w:r>
            <w:proofErr w:type="gramStart"/>
            <w:r>
              <w:rPr>
                <w:sz w:val="20"/>
                <w:szCs w:val="20"/>
              </w:rPr>
              <w:t>наличии)*</w:t>
            </w:r>
            <w:proofErr w:type="gramEnd"/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</w:t>
            </w:r>
            <w:r>
              <w:rPr>
                <w:sz w:val="20"/>
                <w:szCs w:val="20"/>
              </w:rPr>
              <w:t>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</w:t>
            </w:r>
            <w:r>
              <w:rPr>
                <w:sz w:val="20"/>
                <w:szCs w:val="20"/>
              </w:rPr>
              <w:t xml:space="preserve">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81FB6">
        <w:trPr>
          <w:trHeight w:val="3000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Информация о количестве вакантных мест для приема (перевода) по каждой </w:t>
            </w:r>
            <w:r>
              <w:rPr>
                <w:sz w:val="20"/>
                <w:szCs w:val="20"/>
              </w:rPr>
              <w:t>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</w:t>
            </w:r>
            <w:r>
              <w:rPr>
                <w:sz w:val="20"/>
                <w:szCs w:val="20"/>
              </w:rPr>
              <w:t xml:space="preserve"> физических и (или) юридических лиц)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ями услуг и их функционировании: абонентский номер телефона, </w:t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анкеты для опроса граждан или гиперссылки на нее).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необходимо обеспечить размещение: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30"/>
        <w:gridCol w:w="3885"/>
      </w:tblGrid>
      <w:tr w:rsidR="00881FB6">
        <w:trPr>
          <w:trHeight w:val="2160"/>
        </w:trPr>
        <w:tc>
          <w:tcPr>
            <w:tcW w:w="6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 «Часто задаваемые вопросы»)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81FB6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месте нахождения образовательной организации и ее филиалов (при наличии)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режиме, графике работы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контактных телефонах и об адресах электронной почты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Лицензии на осуществление образовательной деятельности (с приложениями)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государственной аккредитации (с приложениями)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онными представителями) несовершеннолетних обучающихся.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внутреннего распорядка обучающихся, правила внутреннего трудового распорядка и коллективный договор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о порядке оказания платных образовательных услуг (при наличии), в том числе образец договора об оказании платных образовательных 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об утверждении стоимости обучения по каждой образовательной программе*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учебных планах реализуемых образовательных программ с приложением их копий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образовательных программах, в том числе о реализуемых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и дистанционных образовательных технологий (при наличии)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ководителя, его заместителей; должность руководителя, его заместителей; контактные телефоны; адреса электронной почты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условиях питания обучающихся, в том числе инвалидов и лиц с ограниченными возможностями здоровья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наличии 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словиях предоставления обучающимся стипендий, мер социальной поддержки</w:t>
            </w:r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наличии и порядке оказания платных образовательных услуг (при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наличии)*</w:t>
            </w:r>
            <w:proofErr w:type="gramEnd"/>
          </w:p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количестве вакантных мест для приема (перевода) по каждой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лиц)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Размещенная на стендах информация размещена в соответствии с утвержденным перечнем. 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tbl>
      <w:tblPr>
        <w:tblStyle w:val="af7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90"/>
        <w:gridCol w:w="1620"/>
      </w:tblGrid>
      <w:tr w:rsidR="00881FB6">
        <w:trPr>
          <w:trHeight w:val="39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881FB6">
        <w:trPr>
          <w:trHeight w:val="60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881FB6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1FB6">
        <w:trPr>
          <w:trHeight w:val="60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881FB6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1FB6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1FB6">
        <w:trPr>
          <w:trHeight w:val="87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881FB6">
        <w:trPr>
          <w:trHeight w:val="6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81FB6">
        <w:trPr>
          <w:trHeight w:val="8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881FB6">
        <w:trPr>
          <w:trHeight w:val="97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881FB6">
        <w:trPr>
          <w:trHeight w:val="6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1FB6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4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881FB6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82,94%</w:t>
            </w:r>
          </w:p>
        </w:tc>
      </w:tr>
      <w:tr w:rsidR="00881FB6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87,24%</w:t>
            </w:r>
          </w:p>
        </w:tc>
      </w:tr>
      <w:tr w:rsidR="00881FB6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73,68%</w:t>
            </w:r>
          </w:p>
        </w:tc>
      </w:tr>
      <w:tr w:rsidR="00881FB6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при непосредственном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84,90%</w:t>
            </w:r>
          </w:p>
        </w:tc>
      </w:tr>
      <w:tr w:rsidR="00881FB6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85,94%</w:t>
            </w:r>
          </w:p>
        </w:tc>
      </w:tr>
      <w:tr w:rsidR="00881FB6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81,25%</w:t>
            </w:r>
          </w:p>
        </w:tc>
      </w:tr>
      <w:tr w:rsidR="00881FB6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80,21%</w:t>
            </w:r>
          </w:p>
        </w:tc>
      </w:tr>
      <w:tr w:rsidR="00881FB6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82,29%</w:t>
            </w:r>
          </w:p>
        </w:tc>
      </w:tr>
      <w:tr w:rsidR="00881FB6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82,55%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 ОБЩАЯ ИНФОРМАЦИЯ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9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81FB6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организаций, принявших участие в процедуре независимой оценки качества условий оказания услуг - 11. Среднее значение - 78,43. Максимальное значение (в баллах) - 83,22. Минимальное значение - 72.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 КОЛИЧЕСТВЕННЫЕ РЕЗУЛЬТАТЫ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Подробная информация о количественных результатах прилагается в электронном виде в формате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excell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Также прилагается шаблон для размещения на сайте bus.gov.ru (формируется по обращению Заказчика при предоставлении шаблона).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8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9060"/>
        <w:gridCol w:w="825"/>
      </w:tblGrid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«Городецкая СОШ им. Героя России Александра Прохоренко»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83,22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«Владимировская средняя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82,28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«Снежинка»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81,74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Тугустемирская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80,86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</w:t>
            </w:r>
            <w:r>
              <w:rPr>
                <w:rFonts w:ascii="Times New Roman" w:eastAsia="Times New Roman" w:hAnsi="Times New Roman" w:cs="Times New Roman"/>
              </w:rPr>
              <w:t>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Астрахановская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79,10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Муниципальное бюджетное общеобразовательное учреждение»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78,02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77,50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«Ивановская основная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77,30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общеобра</w:t>
            </w:r>
            <w:r>
              <w:rPr>
                <w:rFonts w:ascii="Times New Roman" w:eastAsia="Times New Roman" w:hAnsi="Times New Roman" w:cs="Times New Roman"/>
              </w:rPr>
              <w:t>зовательное учреждение «Троицкая средняя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75,90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начальная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74,80</w:t>
            </w:r>
          </w:p>
        </w:tc>
      </w:tr>
      <w:tr w:rsidR="00881FB6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«Ключевская начальная общеобразовательная школа»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 ОСНОВНЫЕ РЕЗУЛЬТАТЫ</w:t>
      </w:r>
    </w:p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81FB6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организаций, принявших участие в процедуре независимой оценки качества условий оказания услуг - 11. Среднее значение - 78,43. Максимальное значение (в баллах) - 83,22. Минимальное значение - 72.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 ОСНОВНЫЕ НЕДОСТАТКИ</w:t>
      </w:r>
    </w:p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c"/>
        <w:tblW w:w="106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81FB6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числу основных выявленных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оборудованных санитарно-гигиенических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иной текстовой и графиче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 альтернативной версии сайта организации для инвалидов по зрению; дублиров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 альтернативной версии сайта организации для инвалидов по зрению;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FB6" w:rsidRDefault="002F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ПРЕДЛОЖЕНИЯ ОБ УЛУЧШЕНИИ КАЧЕСТВА 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881FB6" w:rsidRDefault="0088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FB6" w:rsidRDefault="002F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Организациям в индивидуальном порядке разработать и реализ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 учетом выявленных недостатков отдельным организациям рекомен</w:t>
      </w:r>
      <w:r>
        <w:rPr>
          <w:rFonts w:ascii="Times New Roman" w:eastAsia="Times New Roman" w:hAnsi="Times New Roman" w:cs="Times New Roman"/>
          <w:sz w:val="28"/>
          <w:szCs w:val="28"/>
        </w:rPr>
        <w:t>дуется:</w:t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830"/>
      </w:tblGrid>
      <w:tr w:rsidR="00881FB6">
        <w:trPr>
          <w:trHeight w:val="1020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разместить необходимую информацию 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требованиями;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45"/>
      </w:tblGrid>
      <w:tr w:rsidR="00881FB6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860"/>
      </w:tblGrid>
      <w:tr w:rsidR="00881FB6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принять меры по оборудованию территории, прилегающей к зданиям организации, и помещений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доступности для инвалидов: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входных групп пандусами (подъемными платформами); наличие выделенных стоянок для автотранспортных средств инвалидо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10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875"/>
      </w:tblGrid>
      <w:tr w:rsidR="00881FB6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нвалидам получать услуги наравне с другими: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альтернативной версии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Астрахановская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- 79,1; Численность обучающихся - 38;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- 18; Доля респондентов - 0,47; К1 - 88,8;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- 14; - 12; К2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- 83,5;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- 67; К3 - 74;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К4 - 73,4;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- 78;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К5 - 75,8;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- 14; Пуд - 78;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- 14; Пуд - 78.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финансово-хозя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образец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абочим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инвалидо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итогам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ПРИМЕЧАНИЕ: Информация в данном разделе носит рекомендательный характер. Рекоменд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«Владимировская средняя общеобразовательная школа»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- 82,28; Численность обучающихся - 99;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- 14; Доля респондентов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0,14; К1 - 92,8;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- 11; - 12; К2 - 89,5;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- 79; К3 - 62;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К4 - 83,2;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- 79;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К5 - 83,9;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- 79;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Пуд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- 12; Пуд - 86.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a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«Городецкая СОШ им. Героя России Александра Прохоренко»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- 83,22; Численность обучающихся - 65;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- 9; Доля респондентов - 0,14; К1 - 95,6;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- 8; К2 -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84,5;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К3 - 58;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К4 - 89;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К5 - 89;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Пуд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Пуд - 89.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нет;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равила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15. Документ о порядке оказания платных образовательных услуг (при наличии), в том числе образец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ндартов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проведения практичес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a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Оборудование территории, прилегающей к зданиям организации, и помещений с учетом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начальная общеобразовательная школа»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- 74,8; Численность обучающихся - 18;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Доля респондентов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0,28; К1 - 92;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- 4; К2 - 90;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К3 - 32;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К4 - 80;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К5 - 80;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Пуд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Пуд - 80.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нформации - нет; Обеспечение в организации условий доступности,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да;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да; 39. Информация об электронных образовательных ресурсах, к которым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выполненными рельефно-точечным шрифтом Брайля;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«Ивановская основная общеобразовательная школа»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- 77,3; Численность обучающихся - 57;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- 11; Доля респондентов - 0,19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К1 - 92,8;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- 9; - 9; К2 - 86,5;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- 73; К3 - 54;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К4 - 78,4;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- 73;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- 9; К5 - 74,8;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- 8; Пуд - 73;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- 8; Пуд - 73.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образец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af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«Ключевская начальная общеобразовательная школа»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- 72; Численность обучающихся - 15;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Доля респондентов - 0,33;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К1 - 92;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- 4; К2 - 70;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К3 - 38;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К4 - 80;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К5 - 80;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Пуд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Пуд - 80.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лифтов, поручней, расширенных дверных проемов - нет; наличие сменных кресел-колясок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- нет; наличие альтернативной версии сайта организации для инвалидов по зрению - нет; Обеспечение в организации условий доступности, позволяющих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на 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и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Правила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азец 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таких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к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тах,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нвалидов и лиц с ограниченными возможностями здоровья - да; 38. Информация о доступе к информационным системам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информационно-телекоммуникационным сетям, в том числе приспособленным для использования инвалидами и лицами с ограниченными возможностями здоро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вья;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та,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 ПРИМЕЧАНИЕ: Информация в данном разделе носит рекомендательный характер. Рекомендац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- 77,5; Численность обучающихся - 26;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Доля респондентов - 0,15;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К1 - 90;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- 3; К2 - 87,5;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- 75; К3 - 60;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К4 - 75;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К5 - 75;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Пуд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Пуд - 75.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онной почты - да; электронные сервисы - да; техническая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образец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переподготовке (при наличии); общий стаж работы; стаж работы по специальности - да; 34.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Ташлинская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Муниципальное бюджетное общеобразовательное учреждение»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- 78,02; Численность обучающихся - 68;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- 34;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респондентов - 0,5; К1 - 96,4;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- 32; К2 - 62,5;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- 29;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- 85; К3 - 66;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 К4 - 83,2;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К5 - 82;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- 28; Пуд - 82;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- 28; Пуд - 82.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онной почты - да; электронные сервисы - да; техническая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нет; 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нет; санитарное состояние помещений организации - да;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образе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 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переподготовке (при наличии); общий стаж работы; стаж работы по специальности - да; 34.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8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9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автономное общеобразовательное учреждение «Троицкая средняя общеобразовательная школа»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a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- 75,9; Численность обучающихся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- 44; Доля респондентов - 0,51;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К1 - 94,8;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- 39; - 38; К2 - 56,5;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- 93; К3 - 46;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К4 - 91,6;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- 38; К5 - 90,6;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- 39; Пуд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- 39; Пуд - 89.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b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да; Обор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 наличие 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ации и 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Правила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разец договора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нии таких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ательных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ации к 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нтах, разработанных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ических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стандартов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(или)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изации 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овья; -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ьных технических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итогам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ета, бюджетов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d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e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Тугустемирская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- 80,86; Численность обучающихся - 66;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- 197; Доля респондентов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2,98; К1 - 92,4;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- 163; - 158; К2 - 95;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- 90; К3 - 51,5;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К4 - 85,6;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- 154; К5 - 79,8;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- 159; Пуд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- 159; Пуд - 81. Сокращения и 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0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да; наличие адаптир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ованных лифтов, поручней, расширенных дверных проемов - нет; наличие сменных кресел-колясок - да;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1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финансово-хозя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образец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образовательной программы* - да; 30. Уровень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инвалидо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итогам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2F112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afffff2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ПРИМЕЧАНИЕ: Информация в 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3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РЕЗУЛЬТАТЫ. ОРГАНИЗАЦИЯ: Муниципальное бюджетное дошкольное образовательное учреждение «Детский сад «Снежинка»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4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- 81,74; Численность обучающихся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- 43; Доля респондентов - 0,49; К1 - 93,6;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- 36; - 36; К2 - 93;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- 86; К3 - 56,1;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- 3; К4 - 80;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 - 77;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- 33;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- 79;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- 38; К5 - 86;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- 36;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- 84;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- 38; Пуд - 88;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- 38; Пуд - 88. Сокращения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пояснения приведены на странице 2.</w:t>
            </w:r>
          </w:p>
        </w:tc>
      </w:tr>
    </w:tbl>
    <w:p w:rsidR="00881FB6" w:rsidRDefault="00881F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fffff5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дому - да.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ffff6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РАЗМЕЩЕННОЙ НА САЙТЕ ИНФОРМАЦИИ: 1. Информация о дате создания образовательной организации - да; 2. Информация об учредителе, учредителях образовательной организации - да; 3. Информация о месте нахождения образовательной организации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ее филиалов (при наличии) - да; 4. Информация о режиме, графике работы - да; 5. Информация о контактных телефонах и об адресах электронной почты - да; 7. Сведения о положениях о структурных подразделениях (об органах управления) с приложением копий указанн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положений (при их наличии))* - да; 8. Устав образовательной организации - да; 9. Лицензии на осуществление образовательной деятельности (с приложениями) - да; 10. Свидетельства о государственной аккредитации (с приложениями) - да; 11. План финансово-хоз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 - да; 12. Локальные нормативные акты по основным вопросам организации и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- да; 13.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вила внутреннего распорядка обучающихся, правила внутреннего трудового распорядка и коллективный договор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да; 15. Документ о порядке оказания платных образовательных услуг (при наличии), в том числе образец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оговора об оказании платных образовательных услуг, документ об утверждении стоимости обучения по каждой образовательной программе* - да; 16. Предписания органов, осуществляющих государственный контроль (надзор) в сфере образования, отчеты об исполнении 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предписаний (при наличии)* - да; 17. Информация о реализуемых уровнях образования - да; 18. Информация о формах обучения - да; 19. Информация о нормативных сроках обучения - да; 20. Информация о сроке действия государственной аккредитации образовательны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программ (при наличии государственной аккредитации) - да; 21. Информация об описании образовательных программ с приложением их копий - да; 22. Информация об учебных планах реализуемых образовательных программ с приложением их копий - да; 23. Аннотации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рабочим программам дисциплин (по каждой дисциплине в составе образовательной программы) с приложением их копий (при наличии) - да; 24. Информация о календарных учебных графиках с приложением их копий - да; 25. Информация о методических и иных документах,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азработанных образовательной организацией для обеспечения образовательного процесса - да; 26.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 - да; 27. 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 - да; 28. Информация о языках, на которых осуществляется образование (обучение) - да; 29. Образовательные организации, реализующие общеобразовательные программы, дополнительно указывают наименование образовательной программы* - да; 30. Уровень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ания - да; 31.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копий федеральных государственных образовательных стандартов и образовательных станд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артов размещать гиперссылки на соответствующие документы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- да; 33. 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переподготовке (при наличии); общий стаж работы; стаж работы по специальности - да; 34. 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- да; 35. Информация о обеспечении доступа в здания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 и лиц с ограниченными возможностями здоровья - да; 36. Информация о условиях питания обучающихся, в том числе инвалидов и лиц с ограниченными возможностями здоровья - да; 37. Информация об условиях охраны здоровья обучающихся, в том числе инвалид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 и лиц с ограниченными возможностями здоровья - да; 38. 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да; 39.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- да; 40. Информация о наличии специальных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хнических средств обучения коллективного и индивидуального пользования для инвалидов и лиц с ограниченными возможностями здоровья - да; 41. Информация о наличии и условиях предоставления обучающимся стипендий, мер социальной поддержки - да; 42. Информация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житии (при наличии)* - да; 43. Информация о наличии и порядке оказания платных образовательных услуг (при наличии)* - да; 44. Информация об объеме образовательной деятельности, финансовое обеспечение которой осуществляется за счет бюджетных ассигнований 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- да; 45. Информация о поступлении финансовых и материальных средств и об их расходовании по итога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финансового года - да; 46.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джетов субъектов Российской Федерации, местных бюджетов, по договорам об образовании за счет средств физических и (или) юридических лиц) - да.</w:t>
            </w:r>
          </w:p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РАЗМЕЩЕННОЙ НА СТЕНДЕ ИНФОРМАЦИИ: недостатки не выявлены.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f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81FB6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1FB6" w:rsidRDefault="002F112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ПРИМЕЧАНИЕ: Информация в данном разделе носит рекомендательный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характер. Рекомендации вносятся и утверждаются Общественным советом.</w:t>
            </w:r>
          </w:p>
        </w:tc>
      </w:tr>
    </w:tbl>
    <w:p w:rsidR="00881FB6" w:rsidRDefault="00881FB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81FB6" w:rsidRPr="002D062D" w:rsidRDefault="00881F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81FB6" w:rsidRPr="002D062D">
      <w:pgSz w:w="11906" w:h="16838"/>
      <w:pgMar w:top="1133" w:right="566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1120" w:rsidRDefault="002F1120">
      <w:pPr>
        <w:spacing w:line="240" w:lineRule="auto"/>
      </w:pPr>
      <w:r>
        <w:separator/>
      </w:r>
    </w:p>
  </w:endnote>
  <w:endnote w:type="continuationSeparator" w:id="0">
    <w:p w:rsidR="002F1120" w:rsidRDefault="002F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FB6" w:rsidRDefault="00881FB6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81FB6" w:rsidRDefault="00881FB6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81FB6" w:rsidRDefault="002F1120">
    <w:pPr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Контактная информация организации-оператора по сбору, обобщению и анализу информации  </w:t>
    </w:r>
    <w:hyperlink r:id="rId1">
      <w:r>
        <w:rPr>
          <w:rFonts w:ascii="Times New Roman" w:eastAsia="Times New Roman" w:hAnsi="Times New Roman" w:cs="Times New Roman"/>
          <w:i/>
          <w:color w:val="1155CC"/>
          <w:sz w:val="18"/>
          <w:szCs w:val="18"/>
          <w:highlight w:val="white"/>
          <w:u w:val="single"/>
        </w:rPr>
        <w:t>expert@nsok.su</w:t>
      </w:r>
    </w:hyperlink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 +7-963-144-36-28</w:t>
    </w:r>
  </w:p>
  <w:p w:rsidR="00881FB6" w:rsidRDefault="00881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1120" w:rsidRDefault="002F1120">
      <w:pPr>
        <w:spacing w:line="240" w:lineRule="auto"/>
      </w:pPr>
      <w:r>
        <w:separator/>
      </w:r>
    </w:p>
  </w:footnote>
  <w:footnote w:type="continuationSeparator" w:id="0">
    <w:p w:rsidR="002F1120" w:rsidRDefault="002F1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FB6" w:rsidRDefault="002F1120">
    <w:pPr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</w:t>
    </w:r>
    <w:proofErr w:type="gramStart"/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РЕЗУЛЬТАТАХ </w:t>
    </w: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 сбора</w:t>
    </w:r>
    <w:proofErr w:type="gramEnd"/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, обобщения и анализа информации о качестве условий оказания услуг организациями </w:t>
    </w:r>
  </w:p>
  <w:p w:rsidR="00881FB6" w:rsidRDefault="00881FB6">
    <w:pPr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3DD9"/>
    <w:multiLevelType w:val="multilevel"/>
    <w:tmpl w:val="F4109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B6"/>
    <w:rsid w:val="002D062D"/>
    <w:rsid w:val="002F1120"/>
    <w:rsid w:val="008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CC553D6-33BE-2C48-B47E-9191BA2D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ert@nsok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26831</Words>
  <Characters>152937</Characters>
  <Application>Microsoft Office Word</Application>
  <DocSecurity>0</DocSecurity>
  <Lines>1274</Lines>
  <Paragraphs>358</Paragraphs>
  <ScaleCrop>false</ScaleCrop>
  <Company/>
  <LinksUpToDate>false</LinksUpToDate>
  <CharactersWithSpaces>179410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Диляра Барсукова</cp:lastModifiedBy>
  <cp:revision>2</cp:revision>
  <dcterms:created xsi:type="dcterms:W3CDTF">2020-12-22T18:34:00Z</dcterms:created>
  <dcterms:modified xsi:type="dcterms:W3CDTF">2020-12-22T18:34:00Z</dcterms:modified>
</cp:coreProperties>
</file>